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145F9C12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701CE6">
        <w:rPr>
          <w:b/>
        </w:rPr>
        <w:t>.</w:t>
      </w:r>
      <w:r w:rsidR="001E7BD0">
        <w:rPr>
          <w:b/>
        </w:rPr>
        <w:t>8</w:t>
      </w:r>
      <w:r w:rsidR="00701CE6">
        <w:rPr>
          <w:b/>
        </w:rPr>
        <w:t>.</w:t>
      </w:r>
      <w:r w:rsidR="001E7BD0">
        <w:rPr>
          <w:b/>
        </w:rPr>
        <w:t>1.</w:t>
      </w:r>
      <w:r w:rsidR="00701CE6">
        <w:rPr>
          <w:b/>
        </w:rPr>
        <w:t>2025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7048AEF4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</w:t>
      </w:r>
      <w:r w:rsidR="00614671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0C146544" w14:textId="79DFD153" w:rsidR="001E7BD0" w:rsidRDefault="004E098C" w:rsidP="001E7BD0">
      <w:p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sanitarnej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</w:t>
      </w:r>
      <w:r w:rsidR="001E7BD0">
        <w:rPr>
          <w:rFonts w:ascii="Calibri" w:hAnsi="Calibri" w:cs="Calibri"/>
          <w:sz w:val="22"/>
          <w:szCs w:val="22"/>
        </w:rPr>
        <w:t xml:space="preserve"> </w:t>
      </w:r>
      <w:r w:rsidR="001E7BD0" w:rsidRPr="001E7BD0">
        <w:rPr>
          <w:rFonts w:ascii="Calibri" w:hAnsi="Calibri" w:cs="Calibri"/>
          <w:b/>
          <w:bCs/>
          <w:sz w:val="22"/>
          <w:szCs w:val="22"/>
        </w:rPr>
        <w:t>„Budowa sieci wodociągowej i kanalizacji sanitarnej oraz wykonanie przyłączy wodno</w:t>
      </w:r>
      <w:r w:rsidR="001E7BD0" w:rsidRPr="001E7BD0">
        <w:rPr>
          <w:rFonts w:ascii="Calibri" w:hAnsi="Calibri" w:cs="Calibri"/>
          <w:b/>
          <w:bCs/>
          <w:sz w:val="22"/>
          <w:szCs w:val="22"/>
        </w:rPr>
        <w:t>-</w:t>
      </w:r>
      <w:r w:rsidR="001E7BD0" w:rsidRPr="001E7BD0">
        <w:rPr>
          <w:rFonts w:ascii="Calibri" w:hAnsi="Calibri" w:cs="Calibri"/>
          <w:b/>
          <w:bCs/>
          <w:sz w:val="22"/>
          <w:szCs w:val="22"/>
        </w:rPr>
        <w:t>kanalizacyjnych na terenie gminy Ciasna”</w:t>
      </w:r>
    </w:p>
    <w:p w14:paraId="2389B73F" w14:textId="2C53208C" w:rsidR="003C35D1" w:rsidRPr="00AF1414" w:rsidRDefault="004E098C" w:rsidP="001E7BD0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0ED9D" w14:textId="77777777" w:rsidR="00B344ED" w:rsidRDefault="00B344ED" w:rsidP="001F705F">
      <w:r>
        <w:separator/>
      </w:r>
    </w:p>
  </w:endnote>
  <w:endnote w:type="continuationSeparator" w:id="0">
    <w:p w14:paraId="3FA51CE8" w14:textId="77777777" w:rsidR="00B344ED" w:rsidRDefault="00B344ED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3DDFE" w14:textId="77777777" w:rsidR="00B344ED" w:rsidRDefault="00B344ED" w:rsidP="001F705F">
      <w:r>
        <w:separator/>
      </w:r>
    </w:p>
  </w:footnote>
  <w:footnote w:type="continuationSeparator" w:id="0">
    <w:p w14:paraId="0E4C1F4B" w14:textId="77777777" w:rsidR="00B344ED" w:rsidRDefault="00B344ED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E7BD0"/>
    <w:rsid w:val="001F5DDE"/>
    <w:rsid w:val="001F705F"/>
    <w:rsid w:val="0020327E"/>
    <w:rsid w:val="00205757"/>
    <w:rsid w:val="00215081"/>
    <w:rsid w:val="0022691D"/>
    <w:rsid w:val="0023560D"/>
    <w:rsid w:val="00245520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476E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ABF"/>
    <w:rsid w:val="003F4DAA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01CE6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2DD6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54C2B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4502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344ED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27233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16BFB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0C98"/>
    <w:rsid w:val="00EA47C7"/>
    <w:rsid w:val="00EB4CD6"/>
    <w:rsid w:val="00EC0995"/>
    <w:rsid w:val="00ED51AD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1690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Damian</cp:lastModifiedBy>
  <cp:revision>28</cp:revision>
  <cp:lastPrinted>2018-12-19T08:16:00Z</cp:lastPrinted>
  <dcterms:created xsi:type="dcterms:W3CDTF">2021-11-18T08:48:00Z</dcterms:created>
  <dcterms:modified xsi:type="dcterms:W3CDTF">2025-10-06T10:28:00Z</dcterms:modified>
</cp:coreProperties>
</file>